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D213" w14:textId="75117ABF" w:rsidR="000C5185" w:rsidRPr="000C5185" w:rsidRDefault="000C5185" w:rsidP="00CB72ED">
      <w:pPr>
        <w:jc w:val="center"/>
        <w:rPr>
          <w:rFonts w:ascii="Times New Roman" w:hAnsi="Times New Roman" w:cs="Times New Roman"/>
          <w:sz w:val="32"/>
        </w:rPr>
      </w:pPr>
      <w:r w:rsidRPr="000C5185">
        <w:rPr>
          <w:rFonts w:ascii="Times New Roman" w:hAnsi="Times New Roman" w:cs="Times New Roman"/>
          <w:sz w:val="32"/>
        </w:rPr>
        <w:t>Информация для родителей</w:t>
      </w:r>
      <w:r w:rsidR="00B23632">
        <w:rPr>
          <w:rFonts w:ascii="Times New Roman" w:hAnsi="Times New Roman" w:cs="Times New Roman"/>
          <w:sz w:val="32"/>
        </w:rPr>
        <w:br/>
      </w:r>
      <w:r w:rsidRPr="000C5185">
        <w:rPr>
          <w:rFonts w:ascii="Times New Roman" w:hAnsi="Times New Roman" w:cs="Times New Roman"/>
          <w:sz w:val="32"/>
        </w:rPr>
        <w:t>по сертификатам дополнительного образов</w:t>
      </w:r>
      <w:r>
        <w:rPr>
          <w:rFonts w:ascii="Times New Roman" w:hAnsi="Times New Roman" w:cs="Times New Roman"/>
          <w:sz w:val="32"/>
        </w:rPr>
        <w:t>а</w:t>
      </w:r>
      <w:r w:rsidRPr="000C5185">
        <w:rPr>
          <w:rFonts w:ascii="Times New Roman" w:hAnsi="Times New Roman" w:cs="Times New Roman"/>
          <w:sz w:val="32"/>
        </w:rPr>
        <w:t>ния</w:t>
      </w:r>
    </w:p>
    <w:p w14:paraId="451C08A8" w14:textId="77777777" w:rsidR="00B64408" w:rsidRPr="00365860" w:rsidRDefault="00A87E89" w:rsidP="00CB72ED">
      <w:pPr>
        <w:jc w:val="center"/>
        <w:rPr>
          <w:rFonts w:ascii="Times New Roman" w:hAnsi="Times New Roman" w:cs="Times New Roman"/>
          <w:b/>
          <w:sz w:val="32"/>
        </w:rPr>
      </w:pPr>
      <w:r w:rsidRPr="00365860">
        <w:rPr>
          <w:rFonts w:ascii="Times New Roman" w:hAnsi="Times New Roman" w:cs="Times New Roman"/>
          <w:b/>
          <w:sz w:val="32"/>
        </w:rPr>
        <w:t xml:space="preserve">Памятка </w:t>
      </w:r>
    </w:p>
    <w:p w14:paraId="5F84E222" w14:textId="2E8763DF" w:rsidR="00DB5C80" w:rsidRPr="009B190D" w:rsidRDefault="00F742DE" w:rsidP="00DB5C80">
      <w:pPr>
        <w:jc w:val="both"/>
        <w:rPr>
          <w:sz w:val="24"/>
          <w:szCs w:val="24"/>
        </w:rPr>
      </w:pPr>
      <w:r w:rsidRPr="00DB5C80">
        <w:rPr>
          <w:rFonts w:ascii="Times New Roman" w:hAnsi="Times New Roman" w:cs="Times New Roman"/>
          <w:sz w:val="24"/>
        </w:rPr>
        <w:t>Сертификат дополнительного образования</w:t>
      </w:r>
      <w:r w:rsidR="00CB72ED" w:rsidRPr="00DB5C80">
        <w:rPr>
          <w:rFonts w:ascii="Times New Roman" w:hAnsi="Times New Roman" w:cs="Times New Roman"/>
          <w:sz w:val="24"/>
        </w:rPr>
        <w:t xml:space="preserve"> (далее</w:t>
      </w:r>
      <w:r w:rsidR="00B23632" w:rsidRPr="00B23632">
        <w:rPr>
          <w:rFonts w:ascii="Times New Roman" w:hAnsi="Times New Roman" w:cs="Times New Roman"/>
          <w:sz w:val="24"/>
        </w:rPr>
        <w:t xml:space="preserve"> –</w:t>
      </w:r>
      <w:r w:rsidR="00CB72ED" w:rsidRPr="00DB5C80">
        <w:rPr>
          <w:rFonts w:ascii="Times New Roman" w:hAnsi="Times New Roman" w:cs="Times New Roman"/>
          <w:sz w:val="24"/>
        </w:rPr>
        <w:t xml:space="preserve"> сертификат)</w:t>
      </w:r>
      <w:r w:rsidRPr="00DB5C80">
        <w:rPr>
          <w:rFonts w:ascii="Times New Roman" w:hAnsi="Times New Roman" w:cs="Times New Roman"/>
          <w:sz w:val="24"/>
        </w:rPr>
        <w:t xml:space="preserve"> – </w:t>
      </w:r>
      <w:r w:rsidR="00DB5C80" w:rsidRPr="00DB5C80">
        <w:rPr>
          <w:rFonts w:ascii="Times New Roman" w:hAnsi="Times New Roman" w:cs="Times New Roman"/>
          <w:sz w:val="24"/>
          <w:szCs w:val="24"/>
        </w:rPr>
        <w:t xml:space="preserve">это Ваша возможность получить дополнительное образование за счет средств государства вне зависимости от того, где захочет обучаться Ваш ребенок. Государство гарантирует Вам, что заплатит за выбранные для Вашего ребенка кружки или секции, если их будет проводить  организация, зарегистрированная на портале </w:t>
      </w:r>
      <w:hyperlink r:id="rId4" w:history="1">
        <w:r w:rsidR="00DB5C80" w:rsidRPr="00DB5C80">
          <w:rPr>
            <w:rStyle w:val="Hyperlink"/>
            <w:rFonts w:ascii="Times New Roman" w:hAnsi="Times New Roman" w:cs="Times New Roman"/>
            <w:color w:val="auto"/>
            <w:sz w:val="24"/>
            <w:szCs w:val="24"/>
            <w:u w:val="none"/>
          </w:rPr>
          <w:t>персонифицированного дополнительного образования Волгоградской области</w:t>
        </w:r>
      </w:hyperlink>
      <w:r w:rsidR="009B190D">
        <w:rPr>
          <w:rStyle w:val="Hyperlink"/>
          <w:rFonts w:ascii="Times New Roman" w:hAnsi="Times New Roman" w:cs="Times New Roman"/>
          <w:color w:val="auto"/>
          <w:sz w:val="32"/>
          <w:szCs w:val="28"/>
          <w:u w:val="none"/>
        </w:rPr>
        <w:t xml:space="preserve"> </w:t>
      </w:r>
      <w:r w:rsidR="009B190D" w:rsidRPr="009B190D">
        <w:rPr>
          <w:b/>
          <w:sz w:val="24"/>
          <w:szCs w:val="24"/>
        </w:rPr>
        <w:t>(</w:t>
      </w:r>
      <w:hyperlink r:id="rId5" w:history="1">
        <w:r w:rsidR="009B190D" w:rsidRPr="009B190D">
          <w:rPr>
            <w:rFonts w:ascii="Times New Roman" w:hAnsi="Times New Roman" w:cs="Times New Roman"/>
            <w:b/>
            <w:sz w:val="24"/>
            <w:szCs w:val="24"/>
          </w:rPr>
          <w:t>https://volgograd.pfdo.ru/</w:t>
        </w:r>
      </w:hyperlink>
      <w:r w:rsidR="009B190D" w:rsidRPr="009B190D">
        <w:rPr>
          <w:b/>
          <w:sz w:val="24"/>
          <w:szCs w:val="24"/>
        </w:rPr>
        <w:t>)</w:t>
      </w:r>
      <w:r w:rsidR="00DF49E5">
        <w:rPr>
          <w:b/>
          <w:sz w:val="24"/>
          <w:szCs w:val="24"/>
        </w:rPr>
        <w:t>.</w:t>
      </w:r>
    </w:p>
    <w:p w14:paraId="07E408AC" w14:textId="77777777" w:rsidR="00F742DE" w:rsidRDefault="00F742DE" w:rsidP="00276C3B">
      <w:pPr>
        <w:jc w:val="center"/>
        <w:rPr>
          <w:rFonts w:ascii="Times New Roman" w:hAnsi="Times New Roman" w:cs="Times New Roman"/>
          <w:b/>
          <w:sz w:val="24"/>
        </w:rPr>
      </w:pPr>
      <w:r w:rsidRPr="00276C3B">
        <w:rPr>
          <w:rFonts w:ascii="Times New Roman" w:hAnsi="Times New Roman" w:cs="Times New Roman"/>
          <w:b/>
          <w:sz w:val="24"/>
        </w:rPr>
        <w:t>Сертификат</w:t>
      </w:r>
    </w:p>
    <w:p w14:paraId="522D6B8D" w14:textId="3A9EF603" w:rsidR="00276C3B" w:rsidRDefault="00276C3B" w:rsidP="00276C3B">
      <w:pPr>
        <w:jc w:val="both"/>
        <w:rPr>
          <w:rFonts w:ascii="Times New Roman" w:hAnsi="Times New Roman" w:cs="Times New Roman"/>
          <w:b/>
          <w:sz w:val="24"/>
        </w:rPr>
      </w:pPr>
      <w:r>
        <w:rPr>
          <w:rFonts w:ascii="Times New Roman" w:hAnsi="Times New Roman" w:cs="Times New Roman"/>
          <w:b/>
          <w:sz w:val="24"/>
        </w:rPr>
        <w:t>ВЫДАЕТСЯ ОДИН РАЗ В ВОЗРАСТЕ С 5 ДО 18 ЛЕТ.</w:t>
      </w:r>
    </w:p>
    <w:p w14:paraId="3383DB7D" w14:textId="77777777" w:rsidR="00276C3B" w:rsidRPr="00276C3B" w:rsidRDefault="00276C3B" w:rsidP="00276C3B">
      <w:pPr>
        <w:jc w:val="both"/>
        <w:rPr>
          <w:rFonts w:ascii="Times New Roman" w:hAnsi="Times New Roman" w:cs="Times New Roman"/>
          <w:sz w:val="24"/>
        </w:rPr>
      </w:pPr>
      <w:r w:rsidRPr="00276C3B">
        <w:rPr>
          <w:rFonts w:ascii="Times New Roman" w:hAnsi="Times New Roman" w:cs="Times New Roman"/>
          <w:sz w:val="24"/>
        </w:rPr>
        <w:t>В 18 лет автоматически перестает действовать.</w:t>
      </w:r>
    </w:p>
    <w:p w14:paraId="64880706" w14:textId="77777777" w:rsidR="00DB5C80" w:rsidRPr="00DB5C80" w:rsidRDefault="00DB5C80">
      <w:pPr>
        <w:rPr>
          <w:rFonts w:ascii="Times New Roman" w:hAnsi="Times New Roman" w:cs="Times New Roman"/>
          <w:sz w:val="24"/>
        </w:rPr>
      </w:pPr>
      <w:r w:rsidRPr="00DB5C80">
        <w:rPr>
          <w:rFonts w:ascii="Times New Roman" w:hAnsi="Times New Roman" w:cs="Times New Roman"/>
          <w:sz w:val="24"/>
        </w:rPr>
        <w:t>Используется по любой дополнительной общеобразовательной программ</w:t>
      </w:r>
      <w:r w:rsidR="009B190D">
        <w:rPr>
          <w:rFonts w:ascii="Times New Roman" w:hAnsi="Times New Roman" w:cs="Times New Roman"/>
          <w:sz w:val="24"/>
        </w:rPr>
        <w:t>е, включенной</w:t>
      </w:r>
      <w:r w:rsidRPr="00DB5C80">
        <w:rPr>
          <w:rFonts w:ascii="Times New Roman" w:hAnsi="Times New Roman" w:cs="Times New Roman"/>
          <w:sz w:val="24"/>
        </w:rPr>
        <w:t xml:space="preserve"> в реестр образовательных программ</w:t>
      </w:r>
      <w:r w:rsidR="009B190D">
        <w:rPr>
          <w:rFonts w:ascii="Times New Roman" w:hAnsi="Times New Roman" w:cs="Times New Roman"/>
          <w:sz w:val="24"/>
        </w:rPr>
        <w:t xml:space="preserve"> на портале ПФДО.</w:t>
      </w:r>
    </w:p>
    <w:p w14:paraId="51826F5C" w14:textId="77777777" w:rsidR="00F742DE" w:rsidRDefault="00DB5C80" w:rsidP="009B190D">
      <w:pPr>
        <w:jc w:val="both"/>
        <w:rPr>
          <w:rFonts w:ascii="Times New Roman" w:hAnsi="Times New Roman" w:cs="Times New Roman"/>
          <w:sz w:val="24"/>
        </w:rPr>
      </w:pPr>
      <w:r w:rsidRPr="00DB5C80">
        <w:rPr>
          <w:rFonts w:ascii="Times New Roman" w:hAnsi="Times New Roman" w:cs="Times New Roman"/>
          <w:sz w:val="24"/>
        </w:rPr>
        <w:t>Оплачивает получаемое дополнительное образование по дополнительным общеобразовательным программам, включенных в реестр сертифицированных образовательных программ</w:t>
      </w:r>
      <w:r w:rsidR="009B190D">
        <w:rPr>
          <w:rFonts w:ascii="Times New Roman" w:hAnsi="Times New Roman" w:cs="Times New Roman"/>
          <w:sz w:val="24"/>
        </w:rPr>
        <w:t xml:space="preserve"> на портале ПФДО.</w:t>
      </w:r>
    </w:p>
    <w:p w14:paraId="13F6F1C5" w14:textId="77777777" w:rsidR="009B190D" w:rsidRDefault="009B190D" w:rsidP="009B190D">
      <w:pPr>
        <w:jc w:val="both"/>
        <w:rPr>
          <w:rFonts w:ascii="Times New Roman" w:hAnsi="Times New Roman" w:cs="Times New Roman"/>
          <w:sz w:val="24"/>
        </w:rPr>
      </w:pPr>
      <w:r>
        <w:rPr>
          <w:rFonts w:ascii="Times New Roman" w:hAnsi="Times New Roman" w:cs="Times New Roman"/>
          <w:sz w:val="24"/>
        </w:rPr>
        <w:t>На портале ПФДО представлены программы:</w:t>
      </w:r>
    </w:p>
    <w:p w14:paraId="03A5C1C6" w14:textId="7A9E3B71" w:rsidR="009B190D" w:rsidRDefault="009B190D" w:rsidP="009B190D">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470E62E2" wp14:editId="0DF45EC2">
            <wp:extent cx="372110" cy="32956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29565"/>
                    </a:xfrm>
                    <a:prstGeom prst="rect">
                      <a:avLst/>
                    </a:prstGeom>
                    <a:noFill/>
                    <a:ln>
                      <a:noFill/>
                    </a:ln>
                  </pic:spPr>
                </pic:pic>
              </a:graphicData>
            </a:graphic>
          </wp:inline>
        </w:drawing>
      </w:r>
      <w:r w:rsidR="00B23632" w:rsidRPr="00B23632">
        <w:rPr>
          <w:rFonts w:ascii="Times New Roman" w:hAnsi="Times New Roman" w:cs="Times New Roman"/>
          <w:sz w:val="24"/>
        </w:rPr>
        <w:t xml:space="preserve"> –</w:t>
      </w:r>
      <w:r>
        <w:rPr>
          <w:rFonts w:ascii="Times New Roman" w:hAnsi="Times New Roman" w:cs="Times New Roman"/>
          <w:sz w:val="24"/>
        </w:rPr>
        <w:t xml:space="preserve"> значимые (бюджетные, не требует оплаты со стороны родителя/законного представителя);</w:t>
      </w:r>
    </w:p>
    <w:p w14:paraId="09078D0B" w14:textId="79449DFD" w:rsidR="00036D04" w:rsidRDefault="009443D0" w:rsidP="00036D04">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72E3E61B" wp14:editId="2BFF8B67">
            <wp:extent cx="304800" cy="381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sidR="00B23632" w:rsidRPr="00B23632">
        <w:rPr>
          <w:rFonts w:ascii="Times New Roman" w:hAnsi="Times New Roman" w:cs="Times New Roman"/>
          <w:sz w:val="24"/>
        </w:rPr>
        <w:t xml:space="preserve"> – </w:t>
      </w:r>
      <w:r w:rsidR="00A43515">
        <w:rPr>
          <w:rFonts w:ascii="Times New Roman" w:hAnsi="Times New Roman" w:cs="Times New Roman"/>
          <w:sz w:val="24"/>
        </w:rPr>
        <w:t>иная деятельность</w:t>
      </w:r>
      <w:r w:rsidR="00036D04" w:rsidRPr="00036D04">
        <w:rPr>
          <w:rFonts w:ascii="Times New Roman" w:hAnsi="Times New Roman" w:cs="Times New Roman"/>
          <w:sz w:val="24"/>
        </w:rPr>
        <w:t xml:space="preserve"> </w:t>
      </w:r>
      <w:r w:rsidR="00036D04">
        <w:rPr>
          <w:rFonts w:ascii="Times New Roman" w:hAnsi="Times New Roman" w:cs="Times New Roman"/>
          <w:sz w:val="24"/>
        </w:rPr>
        <w:t>(бюджетные, не требует оплаты со стороны родителя/законного представителя);</w:t>
      </w:r>
    </w:p>
    <w:p w14:paraId="01BA96BF" w14:textId="2711FD3D" w:rsidR="00036D04" w:rsidRDefault="00036D04" w:rsidP="00036D04">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0593AFFC" wp14:editId="0DD3078E">
            <wp:extent cx="318770" cy="340360"/>
            <wp:effectExtent l="0" t="0" r="508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 cy="340360"/>
                    </a:xfrm>
                    <a:prstGeom prst="rect">
                      <a:avLst/>
                    </a:prstGeom>
                    <a:noFill/>
                    <a:ln>
                      <a:noFill/>
                    </a:ln>
                  </pic:spPr>
                </pic:pic>
              </a:graphicData>
            </a:graphic>
          </wp:inline>
        </w:drawing>
      </w:r>
      <w:r w:rsidR="00B23632" w:rsidRPr="00B23632">
        <w:rPr>
          <w:rFonts w:ascii="Times New Roman" w:hAnsi="Times New Roman" w:cs="Times New Roman"/>
          <w:sz w:val="24"/>
        </w:rPr>
        <w:t xml:space="preserve"> – </w:t>
      </w:r>
      <w:r>
        <w:rPr>
          <w:rFonts w:ascii="Times New Roman" w:hAnsi="Times New Roman" w:cs="Times New Roman"/>
          <w:sz w:val="24"/>
        </w:rPr>
        <w:t>предпрофессиональные (бюджетные, не требует оплаты со стороны родителя/законного представителя);</w:t>
      </w:r>
    </w:p>
    <w:p w14:paraId="6E35D641" w14:textId="6081B441" w:rsidR="009B190D" w:rsidRDefault="009443D0" w:rsidP="009B190D">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73D57E1E" wp14:editId="60543331">
            <wp:extent cx="342900" cy="361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00B23632" w:rsidRPr="00B23632">
        <w:rPr>
          <w:rFonts w:ascii="Times New Roman" w:hAnsi="Times New Roman" w:cs="Times New Roman"/>
          <w:sz w:val="24"/>
        </w:rPr>
        <w:t xml:space="preserve"> – </w:t>
      </w:r>
      <w:r w:rsidR="009B190D">
        <w:rPr>
          <w:rFonts w:ascii="Times New Roman" w:hAnsi="Times New Roman" w:cs="Times New Roman"/>
          <w:sz w:val="24"/>
        </w:rPr>
        <w:t>сертифицированные (те, на которые государство будет выделять финансирование, согласно утвержденному бюджету Волгограда);</w:t>
      </w:r>
    </w:p>
    <w:p w14:paraId="226976A6" w14:textId="407476B1" w:rsidR="009B190D" w:rsidRDefault="007C6F22" w:rsidP="009B190D">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193CC707" wp14:editId="4BAC246B">
            <wp:extent cx="318770" cy="28702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287020"/>
                    </a:xfrm>
                    <a:prstGeom prst="rect">
                      <a:avLst/>
                    </a:prstGeom>
                    <a:noFill/>
                    <a:ln>
                      <a:noFill/>
                    </a:ln>
                  </pic:spPr>
                </pic:pic>
              </a:graphicData>
            </a:graphic>
          </wp:inline>
        </w:drawing>
      </w:r>
      <w:r w:rsidR="00B23632" w:rsidRPr="00B23632">
        <w:rPr>
          <w:rFonts w:ascii="Times New Roman" w:hAnsi="Times New Roman" w:cs="Times New Roman"/>
          <w:sz w:val="24"/>
        </w:rPr>
        <w:t xml:space="preserve"> – </w:t>
      </w:r>
      <w:r w:rsidR="009B190D">
        <w:rPr>
          <w:rFonts w:ascii="Times New Roman" w:hAnsi="Times New Roman" w:cs="Times New Roman"/>
          <w:sz w:val="24"/>
        </w:rPr>
        <w:t>платные (оплачивает сам родитель/законный представитель).</w:t>
      </w:r>
    </w:p>
    <w:p w14:paraId="42F99299" w14:textId="77777777" w:rsidR="00365860" w:rsidRDefault="00365860" w:rsidP="009B190D">
      <w:pPr>
        <w:jc w:val="both"/>
        <w:rPr>
          <w:rFonts w:ascii="Times New Roman" w:hAnsi="Times New Roman" w:cs="Times New Roman"/>
          <w:sz w:val="24"/>
        </w:rPr>
      </w:pPr>
      <w:r>
        <w:rPr>
          <w:rFonts w:ascii="Times New Roman" w:hAnsi="Times New Roman" w:cs="Times New Roman"/>
          <w:sz w:val="24"/>
        </w:rPr>
        <w:t>Записаться в кружки можно через личный кабинет ребенка на портале ПФДО (логин и пароль от личного кабинета указаны на самом сертификате). При подаче электронной заявки необходимо в течение 10 календарных дней прийти в учреждение с пакетом документов и подтвердить желание ребенка обучаться в учреждении. Если в течение этого времени не будет подтверждения – заявка будет отклонена. Это все отражается в личном кабинете ребенка.</w:t>
      </w:r>
    </w:p>
    <w:p w14:paraId="7B79DEAE" w14:textId="77777777" w:rsidR="00365860" w:rsidRDefault="00365860" w:rsidP="009B190D">
      <w:pPr>
        <w:jc w:val="both"/>
        <w:rPr>
          <w:rFonts w:ascii="Times New Roman" w:hAnsi="Times New Roman" w:cs="Times New Roman"/>
          <w:sz w:val="24"/>
        </w:rPr>
      </w:pPr>
      <w:r>
        <w:rPr>
          <w:rFonts w:ascii="Times New Roman" w:hAnsi="Times New Roman" w:cs="Times New Roman"/>
          <w:sz w:val="24"/>
        </w:rPr>
        <w:lastRenderedPageBreak/>
        <w:t xml:space="preserve">Также записаться </w:t>
      </w:r>
      <w:r w:rsidR="002B2BE7">
        <w:rPr>
          <w:rFonts w:ascii="Times New Roman" w:hAnsi="Times New Roman" w:cs="Times New Roman"/>
          <w:sz w:val="24"/>
        </w:rPr>
        <w:t>в</w:t>
      </w:r>
      <w:r>
        <w:rPr>
          <w:rFonts w:ascii="Times New Roman" w:hAnsi="Times New Roman" w:cs="Times New Roman"/>
          <w:sz w:val="24"/>
        </w:rPr>
        <w:t xml:space="preserve"> кружки можно лично. Для этого необходимо прийти в учреждение и заполнить все необходимые документы для зачисления ребенка.</w:t>
      </w:r>
    </w:p>
    <w:p w14:paraId="0D60B705" w14:textId="16BB6A40" w:rsidR="00365860" w:rsidRDefault="00365860" w:rsidP="009B190D">
      <w:pPr>
        <w:jc w:val="both"/>
        <w:rPr>
          <w:rFonts w:ascii="Times New Roman" w:hAnsi="Times New Roman" w:cs="Times New Roman"/>
          <w:sz w:val="24"/>
        </w:rPr>
      </w:pPr>
      <w:r>
        <w:rPr>
          <w:rFonts w:ascii="Times New Roman" w:hAnsi="Times New Roman" w:cs="Times New Roman"/>
          <w:sz w:val="24"/>
        </w:rPr>
        <w:t xml:space="preserve">Необходимый пакет документов представлен на сайте </w:t>
      </w:r>
      <w:r w:rsidR="00B23632">
        <w:fldChar w:fldCharType="begin"/>
      </w:r>
      <w:r w:rsidR="00B23632">
        <w:instrText xml:space="preserve"> HYPERLINK "</w:instrText>
      </w:r>
      <w:r w:rsidR="00B23632" w:rsidRPr="00B23632">
        <w:instrText>http</w:instrText>
      </w:r>
      <w:r w:rsidR="00B23632" w:rsidRPr="00B23632">
        <w:rPr>
          <w:lang w:val="en-US"/>
        </w:rPr>
        <w:instrText>s</w:instrText>
      </w:r>
      <w:r w:rsidR="00B23632" w:rsidRPr="00B23632">
        <w:instrText>://ctc-volgograd.ru/</w:instrText>
      </w:r>
      <w:r w:rsidR="00B23632">
        <w:instrText xml:space="preserve">" </w:instrText>
      </w:r>
      <w:r w:rsidR="00B23632">
        <w:fldChar w:fldCharType="separate"/>
      </w:r>
      <w:r w:rsidR="00B23632" w:rsidRPr="007E7985">
        <w:rPr>
          <w:rStyle w:val="Hyperlink"/>
        </w:rPr>
        <w:t>http</w:t>
      </w:r>
      <w:r w:rsidR="00B23632" w:rsidRPr="007E7985">
        <w:rPr>
          <w:rStyle w:val="Hyperlink"/>
          <w:lang w:val="en-US"/>
        </w:rPr>
        <w:t>s</w:t>
      </w:r>
      <w:r w:rsidR="00B23632" w:rsidRPr="007E7985">
        <w:rPr>
          <w:rStyle w:val="Hyperlink"/>
        </w:rPr>
        <w:t>://ctc-volgograd.ru/</w:t>
      </w:r>
      <w:r w:rsidR="00B23632">
        <w:fldChar w:fldCharType="end"/>
      </w:r>
      <w:r>
        <w:t xml:space="preserve"> </w:t>
      </w:r>
      <w:r w:rsidRPr="00365860">
        <w:rPr>
          <w:rFonts w:ascii="Times New Roman" w:hAnsi="Times New Roman" w:cs="Times New Roman"/>
          <w:sz w:val="24"/>
        </w:rPr>
        <w:t>в разделе</w:t>
      </w:r>
      <w:r>
        <w:t xml:space="preserve"> </w:t>
      </w:r>
      <w:r w:rsidRPr="00365860">
        <w:rPr>
          <w:rFonts w:ascii="Times New Roman" w:hAnsi="Times New Roman" w:cs="Times New Roman"/>
          <w:sz w:val="24"/>
        </w:rPr>
        <w:t>«Набор в кружки»</w:t>
      </w:r>
      <w:r>
        <w:rPr>
          <w:rFonts w:ascii="Times New Roman" w:hAnsi="Times New Roman" w:cs="Times New Roman"/>
          <w:sz w:val="24"/>
        </w:rPr>
        <w:t>.</w:t>
      </w:r>
    </w:p>
    <w:p w14:paraId="5259ED64" w14:textId="77777777" w:rsidR="00853AE0" w:rsidRDefault="00853AE0" w:rsidP="009B190D">
      <w:pPr>
        <w:jc w:val="both"/>
        <w:rPr>
          <w:rFonts w:ascii="Times New Roman" w:hAnsi="Times New Roman" w:cs="Times New Roman"/>
          <w:sz w:val="24"/>
        </w:rPr>
      </w:pPr>
      <w:r>
        <w:rPr>
          <w:rFonts w:ascii="Times New Roman" w:hAnsi="Times New Roman" w:cs="Times New Roman"/>
          <w:sz w:val="24"/>
        </w:rPr>
        <w:t xml:space="preserve">У сертификата дополнительного образования </w:t>
      </w:r>
      <w:r w:rsidRPr="00276C3B">
        <w:rPr>
          <w:rFonts w:ascii="Times New Roman" w:hAnsi="Times New Roman" w:cs="Times New Roman"/>
          <w:b/>
          <w:sz w:val="24"/>
        </w:rPr>
        <w:t>два статуса</w:t>
      </w:r>
      <w:r>
        <w:rPr>
          <w:rFonts w:ascii="Times New Roman" w:hAnsi="Times New Roman" w:cs="Times New Roman"/>
          <w:sz w:val="24"/>
        </w:rPr>
        <w:t>:</w:t>
      </w:r>
    </w:p>
    <w:p w14:paraId="5EF50678" w14:textId="77777777" w:rsidR="00853AE0" w:rsidRDefault="00853AE0" w:rsidP="00853AE0">
      <w:pPr>
        <w:spacing w:after="0" w:line="240" w:lineRule="auto"/>
        <w:jc w:val="both"/>
        <w:rPr>
          <w:rFonts w:ascii="Times New Roman" w:hAnsi="Times New Roman" w:cs="Times New Roman"/>
          <w:sz w:val="24"/>
        </w:rPr>
      </w:pPr>
      <w:r>
        <w:rPr>
          <w:rFonts w:ascii="Times New Roman" w:hAnsi="Times New Roman" w:cs="Times New Roman"/>
          <w:sz w:val="24"/>
        </w:rPr>
        <w:t xml:space="preserve">- статус </w:t>
      </w:r>
      <w:r w:rsidRPr="00276C3B">
        <w:rPr>
          <w:rFonts w:ascii="Times New Roman" w:hAnsi="Times New Roman" w:cs="Times New Roman"/>
          <w:b/>
          <w:sz w:val="24"/>
          <w:u w:val="single"/>
        </w:rPr>
        <w:t xml:space="preserve">учета </w:t>
      </w:r>
      <w:r>
        <w:rPr>
          <w:rFonts w:ascii="Times New Roman" w:hAnsi="Times New Roman" w:cs="Times New Roman"/>
          <w:sz w:val="24"/>
        </w:rPr>
        <w:t>(ребенок занесен в реестр системы ПФДО);</w:t>
      </w:r>
    </w:p>
    <w:p w14:paraId="79060E12" w14:textId="77777777" w:rsidR="00853AE0" w:rsidRDefault="00853AE0" w:rsidP="00853AE0">
      <w:pPr>
        <w:spacing w:after="0" w:line="240" w:lineRule="auto"/>
        <w:jc w:val="both"/>
        <w:rPr>
          <w:rFonts w:ascii="Times New Roman" w:hAnsi="Times New Roman" w:cs="Times New Roman"/>
          <w:sz w:val="24"/>
        </w:rPr>
      </w:pPr>
      <w:r>
        <w:rPr>
          <w:rFonts w:ascii="Times New Roman" w:hAnsi="Times New Roman" w:cs="Times New Roman"/>
          <w:sz w:val="24"/>
        </w:rPr>
        <w:t xml:space="preserve">- статус </w:t>
      </w:r>
      <w:r w:rsidRPr="00276C3B">
        <w:rPr>
          <w:rFonts w:ascii="Times New Roman" w:hAnsi="Times New Roman" w:cs="Times New Roman"/>
          <w:b/>
          <w:sz w:val="24"/>
          <w:u w:val="single"/>
        </w:rPr>
        <w:t>финансирования</w:t>
      </w:r>
      <w:r>
        <w:rPr>
          <w:rFonts w:ascii="Times New Roman" w:hAnsi="Times New Roman" w:cs="Times New Roman"/>
          <w:sz w:val="24"/>
        </w:rPr>
        <w:t xml:space="preserve"> (ребенку </w:t>
      </w:r>
      <w:r w:rsidR="00276C3B">
        <w:rPr>
          <w:rFonts w:ascii="Times New Roman" w:hAnsi="Times New Roman" w:cs="Times New Roman"/>
          <w:sz w:val="24"/>
        </w:rPr>
        <w:t xml:space="preserve">государство </w:t>
      </w:r>
      <w:r>
        <w:rPr>
          <w:rFonts w:ascii="Times New Roman" w:hAnsi="Times New Roman" w:cs="Times New Roman"/>
          <w:sz w:val="24"/>
        </w:rPr>
        <w:t>выделя</w:t>
      </w:r>
      <w:r w:rsidR="00276C3B">
        <w:rPr>
          <w:rFonts w:ascii="Times New Roman" w:hAnsi="Times New Roman" w:cs="Times New Roman"/>
          <w:sz w:val="24"/>
        </w:rPr>
        <w:t>е</w:t>
      </w:r>
      <w:r>
        <w:rPr>
          <w:rFonts w:ascii="Times New Roman" w:hAnsi="Times New Roman" w:cs="Times New Roman"/>
          <w:sz w:val="24"/>
        </w:rPr>
        <w:t>т средства на дополнительное образование).</w:t>
      </w:r>
    </w:p>
    <w:p w14:paraId="70D880A1" w14:textId="77777777" w:rsidR="00B23632" w:rsidRDefault="00B23632" w:rsidP="009B190D">
      <w:pPr>
        <w:jc w:val="both"/>
        <w:rPr>
          <w:rFonts w:ascii="Times New Roman" w:hAnsi="Times New Roman" w:cs="Times New Roman"/>
          <w:sz w:val="24"/>
        </w:rPr>
      </w:pPr>
    </w:p>
    <w:p w14:paraId="31F5EE80" w14:textId="4EFA3BE4" w:rsidR="002C448B" w:rsidRDefault="002C448B" w:rsidP="009B190D">
      <w:pPr>
        <w:jc w:val="both"/>
        <w:rPr>
          <w:rFonts w:ascii="Times New Roman" w:hAnsi="Times New Roman" w:cs="Times New Roman"/>
          <w:sz w:val="24"/>
        </w:rPr>
      </w:pPr>
      <w:r>
        <w:rPr>
          <w:rFonts w:ascii="Times New Roman" w:hAnsi="Times New Roman" w:cs="Times New Roman"/>
          <w:sz w:val="24"/>
        </w:rPr>
        <w:t>Ребенок может посещать</w:t>
      </w:r>
      <w:r w:rsidR="009443D0">
        <w:rPr>
          <w:rFonts w:ascii="Times New Roman" w:hAnsi="Times New Roman" w:cs="Times New Roman"/>
          <w:sz w:val="24"/>
        </w:rPr>
        <w:t xml:space="preserve"> одновременно</w:t>
      </w:r>
      <w:r>
        <w:rPr>
          <w:rFonts w:ascii="Times New Roman" w:hAnsi="Times New Roman" w:cs="Times New Roman"/>
          <w:sz w:val="24"/>
        </w:rPr>
        <w:t>:</w:t>
      </w:r>
    </w:p>
    <w:tbl>
      <w:tblPr>
        <w:tblStyle w:val="TableGrid"/>
        <w:tblW w:w="9874" w:type="dxa"/>
        <w:tblLook w:val="04A0" w:firstRow="1" w:lastRow="0" w:firstColumn="1" w:lastColumn="0" w:noHBand="0" w:noVBand="1"/>
      </w:tblPr>
      <w:tblGrid>
        <w:gridCol w:w="1555"/>
        <w:gridCol w:w="915"/>
        <w:gridCol w:w="996"/>
        <w:gridCol w:w="987"/>
        <w:gridCol w:w="3222"/>
        <w:gridCol w:w="2199"/>
      </w:tblGrid>
      <w:tr w:rsidR="00F27840" w14:paraId="271D158A" w14:textId="77777777" w:rsidTr="00F27840">
        <w:tc>
          <w:tcPr>
            <w:tcW w:w="1555" w:type="dxa"/>
          </w:tcPr>
          <w:p w14:paraId="42CB81A3" w14:textId="77777777" w:rsidR="00F27840" w:rsidRDefault="00F27840" w:rsidP="009B190D">
            <w:pPr>
              <w:jc w:val="both"/>
              <w:rPr>
                <w:rFonts w:ascii="Times New Roman" w:hAnsi="Times New Roman" w:cs="Times New Roman"/>
                <w:noProof/>
                <w:sz w:val="24"/>
                <w:lang w:eastAsia="ru-RU"/>
              </w:rPr>
            </w:pPr>
          </w:p>
        </w:tc>
        <w:tc>
          <w:tcPr>
            <w:tcW w:w="915" w:type="dxa"/>
          </w:tcPr>
          <w:p w14:paraId="14391B97" w14:textId="77777777" w:rsidR="00F27840" w:rsidRDefault="00F27840" w:rsidP="009B190D">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25FE04A6" wp14:editId="1D051DBD">
                  <wp:extent cx="372110" cy="32956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29565"/>
                          </a:xfrm>
                          <a:prstGeom prst="rect">
                            <a:avLst/>
                          </a:prstGeom>
                          <a:noFill/>
                          <a:ln>
                            <a:noFill/>
                          </a:ln>
                        </pic:spPr>
                      </pic:pic>
                    </a:graphicData>
                  </a:graphic>
                </wp:inline>
              </w:drawing>
            </w:r>
          </w:p>
        </w:tc>
        <w:tc>
          <w:tcPr>
            <w:tcW w:w="996" w:type="dxa"/>
          </w:tcPr>
          <w:p w14:paraId="6DE42D5E" w14:textId="77777777" w:rsidR="00F27840" w:rsidRDefault="00542881" w:rsidP="009B190D">
            <w:pPr>
              <w:jc w:val="both"/>
              <w:rPr>
                <w:rFonts w:ascii="Times New Roman" w:hAnsi="Times New Roman" w:cs="Times New Roman"/>
                <w:sz w:val="24"/>
              </w:rPr>
            </w:pPr>
            <w:r>
              <w:rPr>
                <w:noProof/>
              </w:rPr>
              <w:object w:dxaOrig="480" w:dyaOrig="600" w14:anchorId="68528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75pt;height:30.45pt;mso-width-percent:0;mso-height-percent:0;mso-width-percent:0;mso-height-percent:0" o:ole="">
                  <v:imagedata r:id="rId11" o:title=""/>
                </v:shape>
                <o:OLEObject Type="Embed" ProgID="PBrush" ShapeID="_x0000_i1025" DrawAspect="Content" ObjectID="_1679231312" r:id="rId12"/>
              </w:object>
            </w:r>
          </w:p>
        </w:tc>
        <w:tc>
          <w:tcPr>
            <w:tcW w:w="987" w:type="dxa"/>
          </w:tcPr>
          <w:p w14:paraId="65AD7438" w14:textId="77777777" w:rsidR="00F27840" w:rsidRDefault="00F27840" w:rsidP="009B190D">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658A6DEA" wp14:editId="0AA7A019">
                  <wp:extent cx="318770" cy="340360"/>
                  <wp:effectExtent l="0" t="0" r="508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 cy="340360"/>
                          </a:xfrm>
                          <a:prstGeom prst="rect">
                            <a:avLst/>
                          </a:prstGeom>
                          <a:noFill/>
                          <a:ln>
                            <a:noFill/>
                          </a:ln>
                        </pic:spPr>
                      </pic:pic>
                    </a:graphicData>
                  </a:graphic>
                </wp:inline>
              </w:drawing>
            </w:r>
          </w:p>
        </w:tc>
        <w:tc>
          <w:tcPr>
            <w:tcW w:w="3222" w:type="dxa"/>
          </w:tcPr>
          <w:p w14:paraId="4A5078F6" w14:textId="77777777" w:rsidR="00F27840" w:rsidRDefault="00F27840" w:rsidP="009B190D">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5BB59CBF" wp14:editId="614B3808">
                  <wp:extent cx="342900" cy="361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c>
          <w:tcPr>
            <w:tcW w:w="2199" w:type="dxa"/>
          </w:tcPr>
          <w:p w14:paraId="0C3D4F6F" w14:textId="77777777" w:rsidR="00F27840" w:rsidRDefault="00F27840" w:rsidP="009B190D">
            <w:pPr>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1DB17349" wp14:editId="3BA06BF8">
                  <wp:extent cx="318770" cy="28702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287020"/>
                          </a:xfrm>
                          <a:prstGeom prst="rect">
                            <a:avLst/>
                          </a:prstGeom>
                          <a:noFill/>
                          <a:ln>
                            <a:noFill/>
                          </a:ln>
                        </pic:spPr>
                      </pic:pic>
                    </a:graphicData>
                  </a:graphic>
                </wp:inline>
              </w:drawing>
            </w:r>
          </w:p>
        </w:tc>
      </w:tr>
      <w:tr w:rsidR="00F27840" w14:paraId="5642D213" w14:textId="77777777" w:rsidTr="00F27840">
        <w:tc>
          <w:tcPr>
            <w:tcW w:w="1555" w:type="dxa"/>
          </w:tcPr>
          <w:p w14:paraId="21D01C29" w14:textId="77777777" w:rsidR="00F27840" w:rsidRDefault="00F27840" w:rsidP="00853AE0">
            <w:pPr>
              <w:jc w:val="center"/>
              <w:rPr>
                <w:rFonts w:ascii="Times New Roman" w:hAnsi="Times New Roman" w:cs="Times New Roman"/>
                <w:noProof/>
                <w:sz w:val="24"/>
                <w:lang w:eastAsia="ru-RU"/>
              </w:rPr>
            </w:pPr>
          </w:p>
        </w:tc>
        <w:tc>
          <w:tcPr>
            <w:tcW w:w="8319" w:type="dxa"/>
            <w:gridSpan w:val="5"/>
          </w:tcPr>
          <w:p w14:paraId="47D5203E" w14:textId="77777777" w:rsidR="00F27840" w:rsidRDefault="00F27840" w:rsidP="00853AE0">
            <w:pPr>
              <w:jc w:val="center"/>
              <w:rPr>
                <w:rFonts w:ascii="Times New Roman" w:hAnsi="Times New Roman" w:cs="Times New Roman"/>
                <w:noProof/>
                <w:sz w:val="24"/>
                <w:lang w:eastAsia="ru-RU"/>
              </w:rPr>
            </w:pPr>
            <w:r>
              <w:rPr>
                <w:rFonts w:ascii="Times New Roman" w:hAnsi="Times New Roman" w:cs="Times New Roman"/>
                <w:noProof/>
                <w:sz w:val="24"/>
                <w:lang w:eastAsia="ru-RU"/>
              </w:rPr>
              <w:t xml:space="preserve">Статус сертификата </w:t>
            </w:r>
            <w:r w:rsidRPr="00276C3B">
              <w:rPr>
                <w:rFonts w:ascii="Times New Roman" w:hAnsi="Times New Roman" w:cs="Times New Roman"/>
                <w:b/>
                <w:noProof/>
                <w:sz w:val="24"/>
                <w:lang w:eastAsia="ru-RU"/>
              </w:rPr>
              <w:t>учета</w:t>
            </w:r>
          </w:p>
        </w:tc>
      </w:tr>
      <w:tr w:rsidR="00F27840" w14:paraId="69F82E50" w14:textId="77777777" w:rsidTr="00F27840">
        <w:tc>
          <w:tcPr>
            <w:tcW w:w="1555" w:type="dxa"/>
          </w:tcPr>
          <w:p w14:paraId="5C81FDCA"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 xml:space="preserve">Вариант №1 </w:t>
            </w:r>
          </w:p>
        </w:tc>
        <w:tc>
          <w:tcPr>
            <w:tcW w:w="915" w:type="dxa"/>
          </w:tcPr>
          <w:p w14:paraId="01F214E4"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1</w:t>
            </w:r>
          </w:p>
        </w:tc>
        <w:tc>
          <w:tcPr>
            <w:tcW w:w="996" w:type="dxa"/>
          </w:tcPr>
          <w:p w14:paraId="3F180E86"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1</w:t>
            </w:r>
          </w:p>
        </w:tc>
        <w:tc>
          <w:tcPr>
            <w:tcW w:w="987" w:type="dxa"/>
          </w:tcPr>
          <w:p w14:paraId="18F1FE28"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1</w:t>
            </w:r>
          </w:p>
        </w:tc>
        <w:tc>
          <w:tcPr>
            <w:tcW w:w="3222" w:type="dxa"/>
            <w:vMerge w:val="restart"/>
          </w:tcPr>
          <w:p w14:paraId="16AFF5FD" w14:textId="77777777" w:rsidR="00F27840" w:rsidRDefault="00F27840" w:rsidP="00853AE0">
            <w:pPr>
              <w:jc w:val="center"/>
              <w:rPr>
                <w:rFonts w:ascii="Times New Roman" w:hAnsi="Times New Roman" w:cs="Times New Roman"/>
                <w:sz w:val="24"/>
              </w:rPr>
            </w:pPr>
          </w:p>
          <w:p w14:paraId="777C99E3" w14:textId="77777777" w:rsidR="00F27840" w:rsidRPr="00853AE0" w:rsidRDefault="00F27840" w:rsidP="00853AE0">
            <w:pPr>
              <w:jc w:val="center"/>
              <w:rPr>
                <w:rFonts w:ascii="Times New Roman" w:hAnsi="Times New Roman" w:cs="Times New Roman"/>
                <w:b/>
                <w:sz w:val="24"/>
              </w:rPr>
            </w:pPr>
            <w:r w:rsidRPr="00853AE0">
              <w:rPr>
                <w:rFonts w:ascii="Times New Roman" w:hAnsi="Times New Roman" w:cs="Times New Roman"/>
                <w:b/>
                <w:sz w:val="24"/>
              </w:rPr>
              <w:t>0</w:t>
            </w:r>
          </w:p>
        </w:tc>
        <w:tc>
          <w:tcPr>
            <w:tcW w:w="2199" w:type="dxa"/>
            <w:vMerge w:val="restart"/>
          </w:tcPr>
          <w:p w14:paraId="02289566"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Нет ограничений  (оплачивает родитель/законный представитель)</w:t>
            </w:r>
          </w:p>
        </w:tc>
      </w:tr>
      <w:tr w:rsidR="00F27840" w14:paraId="28C11C9E" w14:textId="77777777" w:rsidTr="00F27840">
        <w:tc>
          <w:tcPr>
            <w:tcW w:w="1555" w:type="dxa"/>
          </w:tcPr>
          <w:p w14:paraId="71159F1C"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Вариант№ 2</w:t>
            </w:r>
          </w:p>
        </w:tc>
        <w:tc>
          <w:tcPr>
            <w:tcW w:w="915" w:type="dxa"/>
          </w:tcPr>
          <w:p w14:paraId="6585E32A"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2</w:t>
            </w:r>
          </w:p>
        </w:tc>
        <w:tc>
          <w:tcPr>
            <w:tcW w:w="996" w:type="dxa"/>
          </w:tcPr>
          <w:p w14:paraId="5C68B4F9"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1</w:t>
            </w:r>
          </w:p>
        </w:tc>
        <w:tc>
          <w:tcPr>
            <w:tcW w:w="987" w:type="dxa"/>
          </w:tcPr>
          <w:p w14:paraId="37F391D2"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0</w:t>
            </w:r>
          </w:p>
        </w:tc>
        <w:tc>
          <w:tcPr>
            <w:tcW w:w="3222" w:type="dxa"/>
            <w:vMerge/>
          </w:tcPr>
          <w:p w14:paraId="162DE535" w14:textId="77777777" w:rsidR="00F27840" w:rsidRDefault="00F27840" w:rsidP="009B190D">
            <w:pPr>
              <w:jc w:val="both"/>
              <w:rPr>
                <w:rFonts w:ascii="Times New Roman" w:hAnsi="Times New Roman" w:cs="Times New Roman"/>
                <w:sz w:val="24"/>
              </w:rPr>
            </w:pPr>
          </w:p>
        </w:tc>
        <w:tc>
          <w:tcPr>
            <w:tcW w:w="2199" w:type="dxa"/>
            <w:vMerge/>
          </w:tcPr>
          <w:p w14:paraId="79BED367" w14:textId="77777777" w:rsidR="00F27840" w:rsidRDefault="00F27840" w:rsidP="009B190D">
            <w:pPr>
              <w:jc w:val="both"/>
              <w:rPr>
                <w:rFonts w:ascii="Times New Roman" w:hAnsi="Times New Roman" w:cs="Times New Roman"/>
                <w:sz w:val="24"/>
              </w:rPr>
            </w:pPr>
          </w:p>
        </w:tc>
      </w:tr>
      <w:tr w:rsidR="00F27840" w14:paraId="7E3CE373" w14:textId="77777777" w:rsidTr="00F27840">
        <w:tc>
          <w:tcPr>
            <w:tcW w:w="1555" w:type="dxa"/>
          </w:tcPr>
          <w:p w14:paraId="1373992A"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Вариант №3</w:t>
            </w:r>
          </w:p>
        </w:tc>
        <w:tc>
          <w:tcPr>
            <w:tcW w:w="915" w:type="dxa"/>
          </w:tcPr>
          <w:p w14:paraId="54C7A9D6"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0</w:t>
            </w:r>
          </w:p>
        </w:tc>
        <w:tc>
          <w:tcPr>
            <w:tcW w:w="996" w:type="dxa"/>
          </w:tcPr>
          <w:p w14:paraId="0ACB5ED2"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1</w:t>
            </w:r>
          </w:p>
        </w:tc>
        <w:tc>
          <w:tcPr>
            <w:tcW w:w="987" w:type="dxa"/>
          </w:tcPr>
          <w:p w14:paraId="37015D3B"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2</w:t>
            </w:r>
          </w:p>
        </w:tc>
        <w:tc>
          <w:tcPr>
            <w:tcW w:w="3222" w:type="dxa"/>
            <w:vMerge/>
          </w:tcPr>
          <w:p w14:paraId="4A626A16" w14:textId="77777777" w:rsidR="00F27840" w:rsidRDefault="00F27840" w:rsidP="009B190D">
            <w:pPr>
              <w:jc w:val="both"/>
              <w:rPr>
                <w:rFonts w:ascii="Times New Roman" w:hAnsi="Times New Roman" w:cs="Times New Roman"/>
                <w:sz w:val="24"/>
              </w:rPr>
            </w:pPr>
          </w:p>
        </w:tc>
        <w:tc>
          <w:tcPr>
            <w:tcW w:w="2199" w:type="dxa"/>
            <w:vMerge/>
          </w:tcPr>
          <w:p w14:paraId="3C8CBD09" w14:textId="77777777" w:rsidR="00F27840" w:rsidRDefault="00F27840" w:rsidP="009B190D">
            <w:pPr>
              <w:jc w:val="both"/>
              <w:rPr>
                <w:rFonts w:ascii="Times New Roman" w:hAnsi="Times New Roman" w:cs="Times New Roman"/>
                <w:sz w:val="24"/>
              </w:rPr>
            </w:pPr>
          </w:p>
        </w:tc>
      </w:tr>
      <w:tr w:rsidR="00F27840" w14:paraId="579E1C05" w14:textId="77777777" w:rsidTr="00F27840">
        <w:tc>
          <w:tcPr>
            <w:tcW w:w="1555" w:type="dxa"/>
          </w:tcPr>
          <w:p w14:paraId="00EEA32D" w14:textId="77777777" w:rsidR="00F27840" w:rsidRDefault="00F27840" w:rsidP="00853AE0">
            <w:pPr>
              <w:jc w:val="center"/>
              <w:rPr>
                <w:rFonts w:ascii="Times New Roman" w:hAnsi="Times New Roman" w:cs="Times New Roman"/>
                <w:sz w:val="24"/>
              </w:rPr>
            </w:pPr>
          </w:p>
        </w:tc>
        <w:tc>
          <w:tcPr>
            <w:tcW w:w="8319" w:type="dxa"/>
            <w:gridSpan w:val="5"/>
          </w:tcPr>
          <w:p w14:paraId="5DF69424" w14:textId="77777777" w:rsidR="00F27840" w:rsidRDefault="00F27840" w:rsidP="00853AE0">
            <w:pPr>
              <w:jc w:val="center"/>
              <w:rPr>
                <w:rFonts w:ascii="Times New Roman" w:hAnsi="Times New Roman" w:cs="Times New Roman"/>
                <w:sz w:val="24"/>
              </w:rPr>
            </w:pPr>
            <w:r>
              <w:rPr>
                <w:rFonts w:ascii="Times New Roman" w:hAnsi="Times New Roman" w:cs="Times New Roman"/>
                <w:sz w:val="24"/>
              </w:rPr>
              <w:t xml:space="preserve">Статус сертификата </w:t>
            </w:r>
            <w:r w:rsidRPr="00276C3B">
              <w:rPr>
                <w:rFonts w:ascii="Times New Roman" w:hAnsi="Times New Roman" w:cs="Times New Roman"/>
                <w:b/>
                <w:sz w:val="24"/>
              </w:rPr>
              <w:t>финансирования</w:t>
            </w:r>
          </w:p>
        </w:tc>
      </w:tr>
      <w:tr w:rsidR="00F27840" w14:paraId="1182F1BA" w14:textId="77777777" w:rsidTr="00F27840">
        <w:tc>
          <w:tcPr>
            <w:tcW w:w="1555" w:type="dxa"/>
          </w:tcPr>
          <w:p w14:paraId="67A5C32E"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Вариант №1</w:t>
            </w:r>
          </w:p>
        </w:tc>
        <w:tc>
          <w:tcPr>
            <w:tcW w:w="915" w:type="dxa"/>
          </w:tcPr>
          <w:p w14:paraId="5D3DB3F8"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1</w:t>
            </w:r>
          </w:p>
        </w:tc>
        <w:tc>
          <w:tcPr>
            <w:tcW w:w="996" w:type="dxa"/>
          </w:tcPr>
          <w:p w14:paraId="232E1F64"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0</w:t>
            </w:r>
          </w:p>
        </w:tc>
        <w:tc>
          <w:tcPr>
            <w:tcW w:w="987" w:type="dxa"/>
          </w:tcPr>
          <w:p w14:paraId="3B770131"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2</w:t>
            </w:r>
          </w:p>
        </w:tc>
        <w:tc>
          <w:tcPr>
            <w:tcW w:w="3222" w:type="dxa"/>
            <w:vMerge w:val="restart"/>
          </w:tcPr>
          <w:p w14:paraId="5F7581AD" w14:textId="77777777" w:rsidR="00DF49E5" w:rsidRDefault="00DF49E5" w:rsidP="00DF49E5">
            <w:pPr>
              <w:jc w:val="center"/>
              <w:rPr>
                <w:rFonts w:ascii="Times New Roman" w:hAnsi="Times New Roman" w:cs="Times New Roman"/>
                <w:sz w:val="24"/>
                <w:lang w:val="en-US"/>
              </w:rPr>
            </w:pPr>
          </w:p>
          <w:p w14:paraId="39FCB1A0" w14:textId="77777777" w:rsidR="00F27840" w:rsidRPr="00DF49E5" w:rsidRDefault="00DF49E5" w:rsidP="00DF49E5">
            <w:pPr>
              <w:jc w:val="center"/>
              <w:rPr>
                <w:rFonts w:ascii="Times New Roman" w:hAnsi="Times New Roman" w:cs="Times New Roman"/>
                <w:sz w:val="24"/>
                <w:lang w:val="en-US"/>
              </w:rPr>
            </w:pPr>
            <w:r>
              <w:rPr>
                <w:rFonts w:ascii="Times New Roman" w:hAnsi="Times New Roman" w:cs="Times New Roman"/>
                <w:sz w:val="24"/>
                <w:lang w:val="en-US"/>
              </w:rPr>
              <w:t>2</w:t>
            </w:r>
          </w:p>
        </w:tc>
        <w:tc>
          <w:tcPr>
            <w:tcW w:w="2199" w:type="dxa"/>
            <w:vMerge w:val="restart"/>
          </w:tcPr>
          <w:p w14:paraId="2E37108E"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Нет ограничений  (оплачивает родитель/законный представитель)</w:t>
            </w:r>
          </w:p>
        </w:tc>
      </w:tr>
      <w:tr w:rsidR="00F27840" w14:paraId="09ED520B" w14:textId="77777777" w:rsidTr="00F27840">
        <w:tc>
          <w:tcPr>
            <w:tcW w:w="1555" w:type="dxa"/>
          </w:tcPr>
          <w:p w14:paraId="678033C0"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Вариант №2</w:t>
            </w:r>
          </w:p>
        </w:tc>
        <w:tc>
          <w:tcPr>
            <w:tcW w:w="915" w:type="dxa"/>
          </w:tcPr>
          <w:p w14:paraId="3C4E3C05"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2</w:t>
            </w:r>
          </w:p>
        </w:tc>
        <w:tc>
          <w:tcPr>
            <w:tcW w:w="996" w:type="dxa"/>
          </w:tcPr>
          <w:p w14:paraId="20615B8B"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0</w:t>
            </w:r>
          </w:p>
        </w:tc>
        <w:tc>
          <w:tcPr>
            <w:tcW w:w="987" w:type="dxa"/>
          </w:tcPr>
          <w:p w14:paraId="5201A129" w14:textId="77777777" w:rsidR="00F27840" w:rsidRDefault="00F27840" w:rsidP="009B190D">
            <w:pPr>
              <w:jc w:val="both"/>
              <w:rPr>
                <w:rFonts w:ascii="Times New Roman" w:hAnsi="Times New Roman" w:cs="Times New Roman"/>
                <w:sz w:val="24"/>
              </w:rPr>
            </w:pPr>
            <w:r>
              <w:rPr>
                <w:rFonts w:ascii="Times New Roman" w:hAnsi="Times New Roman" w:cs="Times New Roman"/>
                <w:sz w:val="24"/>
              </w:rPr>
              <w:t>1</w:t>
            </w:r>
          </w:p>
        </w:tc>
        <w:tc>
          <w:tcPr>
            <w:tcW w:w="3222" w:type="dxa"/>
            <w:vMerge/>
          </w:tcPr>
          <w:p w14:paraId="23908E8B" w14:textId="77777777" w:rsidR="00F27840" w:rsidRDefault="00F27840" w:rsidP="009B190D">
            <w:pPr>
              <w:jc w:val="both"/>
              <w:rPr>
                <w:rFonts w:ascii="Times New Roman" w:hAnsi="Times New Roman" w:cs="Times New Roman"/>
                <w:sz w:val="24"/>
              </w:rPr>
            </w:pPr>
          </w:p>
        </w:tc>
        <w:tc>
          <w:tcPr>
            <w:tcW w:w="2199" w:type="dxa"/>
            <w:vMerge/>
          </w:tcPr>
          <w:p w14:paraId="7BB92C81" w14:textId="77777777" w:rsidR="00F27840" w:rsidRDefault="00F27840" w:rsidP="009B190D">
            <w:pPr>
              <w:jc w:val="both"/>
              <w:rPr>
                <w:rFonts w:ascii="Times New Roman" w:hAnsi="Times New Roman" w:cs="Times New Roman"/>
                <w:sz w:val="24"/>
              </w:rPr>
            </w:pPr>
          </w:p>
        </w:tc>
      </w:tr>
    </w:tbl>
    <w:p w14:paraId="7071292A" w14:textId="394B28E4" w:rsidR="00276C3B" w:rsidRDefault="00B23632" w:rsidP="009B190D">
      <w:pPr>
        <w:jc w:val="both"/>
        <w:rPr>
          <w:rFonts w:ascii="Times New Roman" w:hAnsi="Times New Roman" w:cs="Times New Roman"/>
          <w:sz w:val="24"/>
        </w:rPr>
      </w:pPr>
      <w:r>
        <w:rPr>
          <w:rFonts w:ascii="Times New Roman" w:hAnsi="Times New Roman" w:cs="Times New Roman"/>
          <w:sz w:val="24"/>
        </w:rPr>
        <w:br/>
      </w:r>
      <w:r w:rsidR="00276C3B">
        <w:rPr>
          <w:rFonts w:ascii="Times New Roman" w:hAnsi="Times New Roman" w:cs="Times New Roman"/>
          <w:sz w:val="24"/>
        </w:rPr>
        <w:t xml:space="preserve">Финансирование сертификата происходит ежегодно на календарный год, который не совпадает с учебным годом. </w:t>
      </w:r>
    </w:p>
    <w:p w14:paraId="404520CD" w14:textId="77777777" w:rsidR="00276C3B" w:rsidRDefault="00276C3B" w:rsidP="009B190D">
      <w:pPr>
        <w:jc w:val="both"/>
        <w:rPr>
          <w:rFonts w:ascii="Times New Roman" w:hAnsi="Times New Roman" w:cs="Times New Roman"/>
          <w:sz w:val="24"/>
        </w:rPr>
      </w:pPr>
      <w:r>
        <w:rPr>
          <w:rFonts w:ascii="Times New Roman" w:hAnsi="Times New Roman" w:cs="Times New Roman"/>
          <w:sz w:val="24"/>
        </w:rPr>
        <w:t>Накопить средства между годами не получится, так как 31 декабря все обнулится, в январе придут новые средства.</w:t>
      </w:r>
    </w:p>
    <w:p w14:paraId="37082BB8" w14:textId="77777777" w:rsidR="00276C3B" w:rsidRDefault="00276C3B" w:rsidP="009B190D">
      <w:pPr>
        <w:jc w:val="both"/>
        <w:rPr>
          <w:rFonts w:ascii="Times New Roman" w:hAnsi="Times New Roman" w:cs="Times New Roman"/>
          <w:sz w:val="24"/>
        </w:rPr>
      </w:pPr>
      <w:r>
        <w:rPr>
          <w:rFonts w:ascii="Times New Roman" w:hAnsi="Times New Roman" w:cs="Times New Roman"/>
          <w:sz w:val="24"/>
        </w:rPr>
        <w:t>«Снять» или «обналичить» средства с сертификата -  невозможно.</w:t>
      </w:r>
    </w:p>
    <w:p w14:paraId="4F82041D" w14:textId="77777777" w:rsidR="00276C3B" w:rsidRDefault="00276C3B" w:rsidP="009B190D">
      <w:pPr>
        <w:jc w:val="both"/>
        <w:rPr>
          <w:rFonts w:ascii="Times New Roman" w:hAnsi="Times New Roman" w:cs="Times New Roman"/>
          <w:sz w:val="24"/>
        </w:rPr>
      </w:pPr>
      <w:r>
        <w:rPr>
          <w:rFonts w:ascii="Times New Roman" w:hAnsi="Times New Roman" w:cs="Times New Roman"/>
          <w:sz w:val="24"/>
        </w:rPr>
        <w:t>Если на сертификате закончились средства, а программа еще не освоена, родитель может доплатить из своих средств.</w:t>
      </w:r>
    </w:p>
    <w:p w14:paraId="40E90916" w14:textId="035E6C7C" w:rsidR="00DF49E5" w:rsidRPr="00DF49E5" w:rsidRDefault="00DF49E5" w:rsidP="00B23632">
      <w:pPr>
        <w:jc w:val="right"/>
        <w:rPr>
          <w:rFonts w:ascii="Times New Roman" w:hAnsi="Times New Roman" w:cs="Times New Roman"/>
          <w:sz w:val="24"/>
        </w:rPr>
      </w:pPr>
      <w:r>
        <w:rPr>
          <w:rFonts w:ascii="Times New Roman" w:hAnsi="Times New Roman" w:cs="Times New Roman"/>
          <w:sz w:val="24"/>
        </w:rPr>
        <w:t xml:space="preserve">Старший методист </w:t>
      </w:r>
      <w:r w:rsidR="00B23632">
        <w:rPr>
          <w:rFonts w:ascii="Times New Roman" w:hAnsi="Times New Roman" w:cs="Times New Roman"/>
          <w:sz w:val="24"/>
        </w:rPr>
        <w:br/>
      </w:r>
      <w:r>
        <w:rPr>
          <w:rFonts w:ascii="Times New Roman" w:hAnsi="Times New Roman" w:cs="Times New Roman"/>
          <w:sz w:val="24"/>
        </w:rPr>
        <w:t xml:space="preserve">МОУ ДЮЦ Волгограда </w:t>
      </w:r>
      <w:r w:rsidR="00B23632">
        <w:rPr>
          <w:rFonts w:ascii="Times New Roman" w:hAnsi="Times New Roman" w:cs="Times New Roman"/>
          <w:sz w:val="24"/>
        </w:rPr>
        <w:br/>
      </w:r>
      <w:r>
        <w:rPr>
          <w:rFonts w:ascii="Times New Roman" w:hAnsi="Times New Roman" w:cs="Times New Roman"/>
          <w:sz w:val="24"/>
        </w:rPr>
        <w:t>Е.И. Соколова</w:t>
      </w:r>
    </w:p>
    <w:sectPr w:rsidR="00DF49E5" w:rsidRPr="00DF4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89"/>
    <w:rsid w:val="00036D04"/>
    <w:rsid w:val="000C5185"/>
    <w:rsid w:val="001C3439"/>
    <w:rsid w:val="00276C3B"/>
    <w:rsid w:val="002B2BE7"/>
    <w:rsid w:val="002C448B"/>
    <w:rsid w:val="00365860"/>
    <w:rsid w:val="00542881"/>
    <w:rsid w:val="007C6F22"/>
    <w:rsid w:val="00853AE0"/>
    <w:rsid w:val="009443D0"/>
    <w:rsid w:val="0096417E"/>
    <w:rsid w:val="009B190D"/>
    <w:rsid w:val="00A43515"/>
    <w:rsid w:val="00A87E89"/>
    <w:rsid w:val="00B23632"/>
    <w:rsid w:val="00B64408"/>
    <w:rsid w:val="00B91832"/>
    <w:rsid w:val="00CB72ED"/>
    <w:rsid w:val="00DB5C80"/>
    <w:rsid w:val="00DF49E5"/>
    <w:rsid w:val="00F27840"/>
    <w:rsid w:val="00F742DE"/>
    <w:rsid w:val="00FF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32AA"/>
  <w15:chartTrackingRefBased/>
  <w15:docId w15:val="{904D4A37-53E0-48E4-AB1B-88406A17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C80"/>
    <w:rPr>
      <w:color w:val="0000FF"/>
      <w:u w:val="single"/>
    </w:rPr>
  </w:style>
  <w:style w:type="character" w:styleId="FollowedHyperlink">
    <w:name w:val="FollowedHyperlink"/>
    <w:basedOn w:val="DefaultParagraphFont"/>
    <w:uiPriority w:val="99"/>
    <w:semiHidden/>
    <w:unhideWhenUsed/>
    <w:rsid w:val="00B23632"/>
    <w:rPr>
      <w:color w:val="954F72" w:themeColor="followedHyperlink"/>
      <w:u w:val="single"/>
    </w:rPr>
  </w:style>
  <w:style w:type="character" w:styleId="UnresolvedMention">
    <w:name w:val="Unresolved Mention"/>
    <w:basedOn w:val="DefaultParagraphFont"/>
    <w:uiPriority w:val="99"/>
    <w:semiHidden/>
    <w:unhideWhenUsed/>
    <w:rsid w:val="00B2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volgograd.pfdo.ru/" TargetMode="External"/><Relationship Id="rId10" Type="http://schemas.openxmlformats.org/officeDocument/2006/relationships/image" Target="media/image5.png"/><Relationship Id="rId4" Type="http://schemas.openxmlformats.org/officeDocument/2006/relationships/hyperlink" Target="https://volgograd.pfdo.ru/"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 User</cp:lastModifiedBy>
  <cp:revision>2</cp:revision>
  <dcterms:created xsi:type="dcterms:W3CDTF">2021-04-06T13:22:00Z</dcterms:created>
  <dcterms:modified xsi:type="dcterms:W3CDTF">2021-04-06T13:22:00Z</dcterms:modified>
</cp:coreProperties>
</file>